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3648" w14:textId="77777777" w:rsidR="00883F45" w:rsidRPr="00883F45" w:rsidRDefault="00883F45" w:rsidP="00883F45">
      <w:pPr>
        <w:shd w:val="clear" w:color="auto" w:fill="FFFFFF"/>
        <w:outlineLvl w:val="0"/>
        <w:rPr>
          <w:rFonts w:ascii="Lato" w:eastAsia="Times New Roman" w:hAnsi="Lato" w:cs="Times New Roman"/>
          <w:color w:val="CC3300"/>
          <w:kern w:val="36"/>
          <w:sz w:val="36"/>
          <w:szCs w:val="36"/>
          <w:lang w:eastAsia="fr-FR"/>
        </w:rPr>
      </w:pPr>
      <w:r w:rsidRPr="00883F45">
        <w:rPr>
          <w:rFonts w:ascii="Lato" w:eastAsia="Times New Roman" w:hAnsi="Lato" w:cs="Times New Roman"/>
          <w:color w:val="CC3300"/>
          <w:kern w:val="36"/>
          <w:sz w:val="36"/>
          <w:szCs w:val="36"/>
          <w:lang w:eastAsia="fr-FR"/>
        </w:rPr>
        <w:t>Le zinc à des sommets, l’aluminium et le nickel s’enfoncent</w:t>
      </w:r>
    </w:p>
    <w:p w14:paraId="5343F9AD" w14:textId="30E1C36D" w:rsidR="00883F45" w:rsidRPr="00883F45" w:rsidRDefault="00883F45" w:rsidP="00883F45">
      <w:pPr>
        <w:shd w:val="clear" w:color="auto" w:fill="FFFFFF"/>
        <w:spacing w:before="150" w:after="150"/>
        <w:outlineLvl w:val="1"/>
        <w:rPr>
          <w:rFonts w:ascii="Lato" w:eastAsia="Times New Roman" w:hAnsi="Lato" w:cs="Times New Roman"/>
          <w:color w:val="3E001F"/>
          <w:sz w:val="30"/>
          <w:szCs w:val="30"/>
          <w:lang w:eastAsia="fr-FR"/>
        </w:rPr>
      </w:pPr>
      <w:r>
        <w:rPr>
          <w:rFonts w:ascii="Lato" w:eastAsia="Times New Roman" w:hAnsi="Lato" w:cs="Times New Roman"/>
          <w:b/>
          <w:bCs/>
          <w:color w:val="000000"/>
          <w:sz w:val="23"/>
          <w:szCs w:val="23"/>
          <w:lang w:eastAsia="fr-FR"/>
        </w:rPr>
        <w:t>L</w:t>
      </w:r>
      <w:r w:rsidRPr="00883F45">
        <w:rPr>
          <w:rFonts w:ascii="Lato" w:eastAsia="Times New Roman" w:hAnsi="Lato" w:cs="Times New Roman"/>
          <w:b/>
          <w:bCs/>
          <w:color w:val="000000"/>
          <w:sz w:val="23"/>
          <w:szCs w:val="23"/>
          <w:lang w:eastAsia="fr-FR"/>
        </w:rPr>
        <w:t>es marchés de métaux continuent de rencontrer de grandes difficultés, que ce soit sur le front de l’offre ou de la demande. L’accès à l’énergie est toujours problématique pour les producteurs d’aluminium et de zinc, et la demande reste majoritairement étale en cette période d’incertitude économique.</w:t>
      </w:r>
    </w:p>
    <w:p w14:paraId="71CE3C82"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 </w:t>
      </w:r>
    </w:p>
    <w:p w14:paraId="0FF43F31"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b/>
          <w:bCs/>
          <w:color w:val="A52A2A"/>
          <w:sz w:val="23"/>
          <w:szCs w:val="23"/>
          <w:lang w:eastAsia="fr-FR"/>
        </w:rPr>
        <w:t>Aluminium : demande en berne, les primes cèdent du terrain</w:t>
      </w:r>
    </w:p>
    <w:p w14:paraId="2828E6EF"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Les primes ont, à nouveau, cédé du terrain vendredi 2 septembre, dans un contexte négatif et de demande atone. Les primes sur les </w:t>
      </w:r>
      <w:r w:rsidRPr="00883F45">
        <w:rPr>
          <w:rFonts w:ascii="Lato" w:eastAsia="Times New Roman" w:hAnsi="Lato" w:cs="Times New Roman"/>
          <w:color w:val="000000"/>
          <w:sz w:val="23"/>
          <w:szCs w:val="23"/>
          <w:u w:val="single"/>
          <w:lang w:eastAsia="fr-FR"/>
        </w:rPr>
        <w:t>lingots P1020 dédouanés</w:t>
      </w:r>
      <w:r w:rsidRPr="00883F45">
        <w:rPr>
          <w:rFonts w:ascii="Lato" w:eastAsia="Times New Roman" w:hAnsi="Lato" w:cs="Times New Roman"/>
          <w:color w:val="000000"/>
          <w:sz w:val="23"/>
          <w:szCs w:val="23"/>
          <w:lang w:eastAsia="fr-FR"/>
        </w:rPr>
        <w:t>, départ entrepôts de </w:t>
      </w:r>
      <w:r w:rsidRPr="00883F45">
        <w:rPr>
          <w:rFonts w:ascii="Lato" w:eastAsia="Times New Roman" w:hAnsi="Lato" w:cs="Times New Roman"/>
          <w:b/>
          <w:bCs/>
          <w:color w:val="000000"/>
          <w:sz w:val="23"/>
          <w:szCs w:val="23"/>
          <w:lang w:eastAsia="fr-FR"/>
        </w:rPr>
        <w:t>Rotterdam</w:t>
      </w:r>
      <w:r w:rsidRPr="00883F45">
        <w:rPr>
          <w:rFonts w:ascii="Lato" w:eastAsia="Times New Roman" w:hAnsi="Lato" w:cs="Times New Roman"/>
          <w:color w:val="000000"/>
          <w:sz w:val="23"/>
          <w:szCs w:val="23"/>
          <w:lang w:eastAsia="fr-FR"/>
        </w:rPr>
        <w:t>, ont abandonné 20 $ à 430-480 $/t au dernier fixing. Elles ont cédé environ 14% depuis le début du mois d’août. « </w:t>
      </w:r>
      <w:r w:rsidRPr="00883F45">
        <w:rPr>
          <w:rFonts w:ascii="Lato" w:eastAsia="Times New Roman" w:hAnsi="Lato" w:cs="Times New Roman"/>
          <w:i/>
          <w:iCs/>
          <w:color w:val="000000"/>
          <w:sz w:val="23"/>
          <w:szCs w:val="23"/>
          <w:lang w:eastAsia="fr-FR"/>
        </w:rPr>
        <w:t>Les acteurs de marché sont concentrés sur la demande. Les inquiétudes liées à cette dernière surpassent celles liées aux annonces de fermetures de capacités. Les mois à venir promettent d’être volatils </w:t>
      </w:r>
      <w:r w:rsidRPr="00883F45">
        <w:rPr>
          <w:rFonts w:ascii="Lato" w:eastAsia="Times New Roman" w:hAnsi="Lato" w:cs="Times New Roman"/>
          <w:color w:val="000000"/>
          <w:sz w:val="23"/>
          <w:szCs w:val="23"/>
          <w:lang w:eastAsia="fr-FR"/>
        </w:rPr>
        <w:t>», prévoit un trader. Les dernières annonces de fermetures de capacités ne parviennent pas à enrayer la contraction des primes, malgré les inquiétudes persistantes concernant les prix de l’énergie et la contraction des marges des fonderies. </w:t>
      </w:r>
      <w:r w:rsidRPr="00883F45">
        <w:rPr>
          <w:rFonts w:ascii="Lato" w:eastAsia="Times New Roman" w:hAnsi="Lato" w:cs="Times New Roman"/>
          <w:b/>
          <w:bCs/>
          <w:color w:val="000000"/>
          <w:sz w:val="23"/>
          <w:szCs w:val="23"/>
          <w:lang w:eastAsia="fr-FR"/>
        </w:rPr>
        <w:t>Alcoa </w:t>
      </w:r>
      <w:r w:rsidRPr="00883F45">
        <w:rPr>
          <w:rFonts w:ascii="Lato" w:eastAsia="Times New Roman" w:hAnsi="Lato" w:cs="Times New Roman"/>
          <w:color w:val="000000"/>
          <w:sz w:val="23"/>
          <w:szCs w:val="23"/>
          <w:lang w:eastAsia="fr-FR"/>
        </w:rPr>
        <w:t>a annoncé le 30 août qu’il allait fermer un tiers des capacités de la fonderie norvégienne Lista (</w:t>
      </w:r>
      <w:proofErr w:type="spellStart"/>
      <w:r w:rsidRPr="00883F45">
        <w:rPr>
          <w:rFonts w:ascii="Lato" w:eastAsia="Times New Roman" w:hAnsi="Lato" w:cs="Times New Roman"/>
          <w:color w:val="000000"/>
          <w:sz w:val="23"/>
          <w:szCs w:val="23"/>
          <w:lang w:eastAsia="fr-FR"/>
        </w:rPr>
        <w:t>cf</w:t>
      </w:r>
      <w:proofErr w:type="spellEnd"/>
      <w:r w:rsidRPr="00883F45">
        <w:rPr>
          <w:rFonts w:ascii="Lato" w:eastAsia="Times New Roman" w:hAnsi="Lato" w:cs="Times New Roman"/>
          <w:color w:val="000000"/>
          <w:sz w:val="23"/>
          <w:szCs w:val="23"/>
          <w:lang w:eastAsia="fr-FR"/>
        </w:rPr>
        <w:t xml:space="preserve"> p1), en réponse à la hausse des prix de l’énergie. Les usines consommatrices reviennent progressivement sur le marché après les congés d’été, qui dispose de suffisamment de tonnages pour répondre à la demande. « </w:t>
      </w:r>
      <w:r w:rsidRPr="00883F45">
        <w:rPr>
          <w:rFonts w:ascii="Lato" w:eastAsia="Times New Roman" w:hAnsi="Lato" w:cs="Times New Roman"/>
          <w:i/>
          <w:iCs/>
          <w:color w:val="000000"/>
          <w:sz w:val="23"/>
          <w:szCs w:val="23"/>
          <w:lang w:eastAsia="fr-FR"/>
        </w:rPr>
        <w:t>Les liquidités devraient s’étoffer ce mois-ci avec le retour des consommateurs</w:t>
      </w:r>
      <w:r w:rsidRPr="00883F45">
        <w:rPr>
          <w:rFonts w:ascii="Lato" w:eastAsia="Times New Roman" w:hAnsi="Lato" w:cs="Times New Roman"/>
          <w:color w:val="000000"/>
          <w:sz w:val="23"/>
          <w:szCs w:val="23"/>
          <w:lang w:eastAsia="fr-FR"/>
        </w:rPr>
        <w:t> », prévoit un trader.</w:t>
      </w:r>
    </w:p>
    <w:p w14:paraId="44303824"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Les primes sur les </w:t>
      </w:r>
      <w:r w:rsidRPr="00883F45">
        <w:rPr>
          <w:rFonts w:ascii="Lato" w:eastAsia="Times New Roman" w:hAnsi="Lato" w:cs="Times New Roman"/>
          <w:color w:val="000000"/>
          <w:sz w:val="23"/>
          <w:szCs w:val="23"/>
          <w:u w:val="single"/>
          <w:lang w:eastAsia="fr-FR"/>
        </w:rPr>
        <w:t>lingots non dédouanés</w:t>
      </w:r>
      <w:r w:rsidRPr="00883F45">
        <w:rPr>
          <w:rFonts w:ascii="Lato" w:eastAsia="Times New Roman" w:hAnsi="Lato" w:cs="Times New Roman"/>
          <w:color w:val="000000"/>
          <w:sz w:val="23"/>
          <w:szCs w:val="23"/>
          <w:lang w:eastAsia="fr-FR"/>
        </w:rPr>
        <w:t>, départ entrepôts de </w:t>
      </w:r>
      <w:r w:rsidRPr="00883F45">
        <w:rPr>
          <w:rFonts w:ascii="Lato" w:eastAsia="Times New Roman" w:hAnsi="Lato" w:cs="Times New Roman"/>
          <w:b/>
          <w:bCs/>
          <w:color w:val="000000"/>
          <w:sz w:val="23"/>
          <w:szCs w:val="23"/>
          <w:lang w:eastAsia="fr-FR"/>
        </w:rPr>
        <w:t>Rotterdam</w:t>
      </w:r>
      <w:r w:rsidRPr="00883F45">
        <w:rPr>
          <w:rFonts w:ascii="Lato" w:eastAsia="Times New Roman" w:hAnsi="Lato" w:cs="Times New Roman"/>
          <w:color w:val="000000"/>
          <w:sz w:val="23"/>
          <w:szCs w:val="23"/>
          <w:lang w:eastAsia="fr-FR"/>
        </w:rPr>
        <w:t>, ont reculé de 20 $ à 360-400 $/t. Elles sont également en baisse de quelque 14% depuis début août.</w:t>
      </w:r>
    </w:p>
    <w:p w14:paraId="08E68457"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Dans le sud du continent, les primes ont reflué. Celles appliquées aux </w:t>
      </w:r>
      <w:r w:rsidRPr="00883F45">
        <w:rPr>
          <w:rFonts w:ascii="Lato" w:eastAsia="Times New Roman" w:hAnsi="Lato" w:cs="Times New Roman"/>
          <w:color w:val="000000"/>
          <w:sz w:val="23"/>
          <w:szCs w:val="23"/>
          <w:u w:val="single"/>
          <w:lang w:eastAsia="fr-FR"/>
        </w:rPr>
        <w:t>lingots dédouanés</w:t>
      </w:r>
      <w:r w:rsidRPr="00883F45">
        <w:rPr>
          <w:rFonts w:ascii="Lato" w:eastAsia="Times New Roman" w:hAnsi="Lato" w:cs="Times New Roman"/>
          <w:color w:val="000000"/>
          <w:sz w:val="23"/>
          <w:szCs w:val="23"/>
          <w:lang w:eastAsia="fr-FR"/>
        </w:rPr>
        <w:t xml:space="preserve">, disponibles sur une base </w:t>
      </w:r>
      <w:proofErr w:type="spellStart"/>
      <w:r w:rsidRPr="00883F45">
        <w:rPr>
          <w:rFonts w:ascii="Lato" w:eastAsia="Times New Roman" w:hAnsi="Lato" w:cs="Times New Roman"/>
          <w:color w:val="000000"/>
          <w:sz w:val="23"/>
          <w:szCs w:val="23"/>
          <w:lang w:eastAsia="fr-FR"/>
        </w:rPr>
        <w:t>fca</w:t>
      </w:r>
      <w:proofErr w:type="spellEnd"/>
      <w:r w:rsidRPr="00883F45">
        <w:rPr>
          <w:rFonts w:ascii="Lato" w:eastAsia="Times New Roman" w:hAnsi="Lato" w:cs="Times New Roman"/>
          <w:color w:val="000000"/>
          <w:sz w:val="23"/>
          <w:szCs w:val="23"/>
          <w:lang w:eastAsia="fr-FR"/>
        </w:rPr>
        <w:t> </w:t>
      </w:r>
      <w:r w:rsidRPr="00883F45">
        <w:rPr>
          <w:rFonts w:ascii="Lato" w:eastAsia="Times New Roman" w:hAnsi="Lato" w:cs="Times New Roman"/>
          <w:b/>
          <w:bCs/>
          <w:color w:val="000000"/>
          <w:sz w:val="23"/>
          <w:szCs w:val="23"/>
          <w:lang w:eastAsia="fr-FR"/>
        </w:rPr>
        <w:t>Italie</w:t>
      </w:r>
      <w:r w:rsidRPr="00883F45">
        <w:rPr>
          <w:rFonts w:ascii="Lato" w:eastAsia="Times New Roman" w:hAnsi="Lato" w:cs="Times New Roman"/>
          <w:color w:val="000000"/>
          <w:sz w:val="23"/>
          <w:szCs w:val="23"/>
          <w:lang w:eastAsia="fr-FR"/>
        </w:rPr>
        <w:t>, ont cédé 20 $ à la fourchette basse pour s’établir à 500-550 $/t.</w:t>
      </w:r>
    </w:p>
    <w:p w14:paraId="0E6FA71E"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 </w:t>
      </w:r>
    </w:p>
    <w:p w14:paraId="6C6AF580"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b/>
          <w:bCs/>
          <w:color w:val="A52A2A"/>
          <w:sz w:val="23"/>
          <w:szCs w:val="23"/>
          <w:lang w:eastAsia="fr-FR"/>
        </w:rPr>
        <w:t>Zinc : porté par les tensions sur les disponibilités</w:t>
      </w:r>
    </w:p>
    <w:p w14:paraId="5E5913E7"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 xml:space="preserve">Les primes ont atteint de nouvelles valeurs records ces derniers jours, où elles ont été portées par les tensions sur les disponibilités et la flambée des prix de l’énergie. Les primes sur les lingots SHG dédouanés, </w:t>
      </w:r>
      <w:proofErr w:type="spellStart"/>
      <w:r w:rsidRPr="00883F45">
        <w:rPr>
          <w:rFonts w:ascii="Lato" w:eastAsia="Times New Roman" w:hAnsi="Lato" w:cs="Times New Roman"/>
          <w:color w:val="000000"/>
          <w:sz w:val="23"/>
          <w:szCs w:val="23"/>
          <w:lang w:eastAsia="fr-FR"/>
        </w:rPr>
        <w:t>fca</w:t>
      </w:r>
      <w:proofErr w:type="spellEnd"/>
      <w:r w:rsidRPr="00883F45">
        <w:rPr>
          <w:rFonts w:ascii="Lato" w:eastAsia="Times New Roman" w:hAnsi="Lato" w:cs="Times New Roman"/>
          <w:color w:val="000000"/>
          <w:sz w:val="23"/>
          <w:szCs w:val="23"/>
          <w:lang w:eastAsia="fr-FR"/>
        </w:rPr>
        <w:t> </w:t>
      </w:r>
      <w:r w:rsidRPr="00883F45">
        <w:rPr>
          <w:rFonts w:ascii="Lato" w:eastAsia="Times New Roman" w:hAnsi="Lato" w:cs="Times New Roman"/>
          <w:b/>
          <w:bCs/>
          <w:color w:val="000000"/>
          <w:sz w:val="23"/>
          <w:szCs w:val="23"/>
          <w:lang w:eastAsia="fr-FR"/>
        </w:rPr>
        <w:t>Rotterdam </w:t>
      </w:r>
      <w:r w:rsidRPr="00883F45">
        <w:rPr>
          <w:rFonts w:ascii="Lato" w:eastAsia="Times New Roman" w:hAnsi="Lato" w:cs="Times New Roman"/>
          <w:color w:val="000000"/>
          <w:sz w:val="23"/>
          <w:szCs w:val="23"/>
          <w:lang w:eastAsia="fr-FR"/>
        </w:rPr>
        <w:t>et </w:t>
      </w:r>
      <w:r w:rsidRPr="00883F45">
        <w:rPr>
          <w:rFonts w:ascii="Lato" w:eastAsia="Times New Roman" w:hAnsi="Lato" w:cs="Times New Roman"/>
          <w:b/>
          <w:bCs/>
          <w:color w:val="000000"/>
          <w:sz w:val="23"/>
          <w:szCs w:val="23"/>
          <w:lang w:eastAsia="fr-FR"/>
        </w:rPr>
        <w:t>Anvers</w:t>
      </w:r>
      <w:r w:rsidRPr="00883F45">
        <w:rPr>
          <w:rFonts w:ascii="Lato" w:eastAsia="Times New Roman" w:hAnsi="Lato" w:cs="Times New Roman"/>
          <w:color w:val="000000"/>
          <w:sz w:val="23"/>
          <w:szCs w:val="23"/>
          <w:lang w:eastAsia="fr-FR"/>
        </w:rPr>
        <w:t>, ont progressé de 10-50 $/t sur une semaine à 500-530 $/t. « </w:t>
      </w:r>
      <w:r w:rsidRPr="00883F45">
        <w:rPr>
          <w:rFonts w:ascii="Lato" w:eastAsia="Times New Roman" w:hAnsi="Lato" w:cs="Times New Roman"/>
          <w:i/>
          <w:iCs/>
          <w:color w:val="000000"/>
          <w:sz w:val="23"/>
          <w:szCs w:val="23"/>
          <w:lang w:eastAsia="fr-FR"/>
        </w:rPr>
        <w:t>Tous nos lots ont été attribués</w:t>
      </w:r>
      <w:r w:rsidRPr="00883F45">
        <w:rPr>
          <w:rFonts w:ascii="Lato" w:eastAsia="Times New Roman" w:hAnsi="Lato" w:cs="Times New Roman"/>
          <w:color w:val="000000"/>
          <w:sz w:val="23"/>
          <w:szCs w:val="23"/>
          <w:lang w:eastAsia="fr-FR"/>
        </w:rPr>
        <w:t> », indique un trader. « </w:t>
      </w:r>
      <w:r w:rsidRPr="00883F45">
        <w:rPr>
          <w:rFonts w:ascii="Lato" w:eastAsia="Times New Roman" w:hAnsi="Lato" w:cs="Times New Roman"/>
          <w:i/>
          <w:iCs/>
          <w:color w:val="000000"/>
          <w:sz w:val="23"/>
          <w:szCs w:val="23"/>
          <w:lang w:eastAsia="fr-FR"/>
        </w:rPr>
        <w:t>Beaucoup disent ne pas avoir de tonnages disponibles et ceux qui en possèdent ne les cèdent pas à moins de 500 $</w:t>
      </w:r>
      <w:r w:rsidRPr="00883F45">
        <w:rPr>
          <w:rFonts w:ascii="Lato" w:eastAsia="Times New Roman" w:hAnsi="Lato" w:cs="Times New Roman"/>
          <w:color w:val="000000"/>
          <w:sz w:val="23"/>
          <w:szCs w:val="23"/>
          <w:lang w:eastAsia="fr-FR"/>
        </w:rPr>
        <w:t> », poursuit le trader. Les offres se situent entre 510 et 530 $/t. Les acteurs de marché s’inquiètent par ailleurs d’une éventuelle destruction de la demande, certains consommateurs, qu’ils soient du secteur des alliages ou de celui de l’acier, reportant leurs achats. « </w:t>
      </w:r>
      <w:r w:rsidRPr="00883F45">
        <w:rPr>
          <w:rFonts w:ascii="Lato" w:eastAsia="Times New Roman" w:hAnsi="Lato" w:cs="Times New Roman"/>
          <w:i/>
          <w:iCs/>
          <w:color w:val="000000"/>
          <w:sz w:val="23"/>
          <w:szCs w:val="23"/>
          <w:lang w:eastAsia="fr-FR"/>
        </w:rPr>
        <w:t xml:space="preserve">Les traders cherchent eux à gagner du temps, ils préfèrent s’acquitter de la </w:t>
      </w:r>
      <w:proofErr w:type="spellStart"/>
      <w:r w:rsidRPr="00883F45">
        <w:rPr>
          <w:rFonts w:ascii="Lato" w:eastAsia="Times New Roman" w:hAnsi="Lato" w:cs="Times New Roman"/>
          <w:i/>
          <w:iCs/>
          <w:color w:val="000000"/>
          <w:sz w:val="23"/>
          <w:szCs w:val="23"/>
          <w:lang w:eastAsia="fr-FR"/>
        </w:rPr>
        <w:t>backwardation</w:t>
      </w:r>
      <w:proofErr w:type="spellEnd"/>
      <w:r w:rsidRPr="00883F45">
        <w:rPr>
          <w:rFonts w:ascii="Lato" w:eastAsia="Times New Roman" w:hAnsi="Lato" w:cs="Times New Roman"/>
          <w:i/>
          <w:iCs/>
          <w:color w:val="000000"/>
          <w:sz w:val="23"/>
          <w:szCs w:val="23"/>
          <w:lang w:eastAsia="fr-FR"/>
        </w:rPr>
        <w:t xml:space="preserve"> et des frais d’entreposage plutôt que de vendre le métal</w:t>
      </w:r>
      <w:r w:rsidRPr="00883F45">
        <w:rPr>
          <w:rFonts w:ascii="Lato" w:eastAsia="Times New Roman" w:hAnsi="Lato" w:cs="Times New Roman"/>
          <w:color w:val="000000"/>
          <w:sz w:val="23"/>
          <w:szCs w:val="23"/>
          <w:lang w:eastAsia="fr-FR"/>
        </w:rPr>
        <w:t> », indique un second trader. Le facteur offre semble agir là aussi : au cours des dernières années, les traders vendaient les lots dont les livraisons étaient reportées pour couvrir les coûts et achetaient ultérieurement les tonnages de remplacement pour honorer les livraisons. Aujourd’hui, ce n’est plus possible, au vu des tensions sur les disponibilités, ils sont contraints de conserver leurs positions en raison des tensions sur l’offre.</w:t>
      </w:r>
    </w:p>
    <w:p w14:paraId="1A5D6E0C"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En </w:t>
      </w:r>
      <w:r w:rsidRPr="00883F45">
        <w:rPr>
          <w:rFonts w:ascii="Lato" w:eastAsia="Times New Roman" w:hAnsi="Lato" w:cs="Times New Roman"/>
          <w:b/>
          <w:bCs/>
          <w:color w:val="000000"/>
          <w:sz w:val="23"/>
          <w:szCs w:val="23"/>
          <w:lang w:eastAsia="fr-FR"/>
        </w:rPr>
        <w:t>Italie</w:t>
      </w:r>
      <w:r w:rsidRPr="00883F45">
        <w:rPr>
          <w:rFonts w:ascii="Lato" w:eastAsia="Times New Roman" w:hAnsi="Lato" w:cs="Times New Roman"/>
          <w:color w:val="000000"/>
          <w:sz w:val="23"/>
          <w:szCs w:val="23"/>
          <w:lang w:eastAsia="fr-FR"/>
        </w:rPr>
        <w:t>, les primes sur le </w:t>
      </w:r>
      <w:r w:rsidRPr="00883F45">
        <w:rPr>
          <w:rFonts w:ascii="Lato" w:eastAsia="Times New Roman" w:hAnsi="Lato" w:cs="Times New Roman"/>
          <w:color w:val="000000"/>
          <w:sz w:val="23"/>
          <w:szCs w:val="23"/>
          <w:u w:val="single"/>
          <w:lang w:eastAsia="fr-FR"/>
        </w:rPr>
        <w:t>zinc dédouané</w:t>
      </w:r>
      <w:r w:rsidRPr="00883F45">
        <w:rPr>
          <w:rFonts w:ascii="Lato" w:eastAsia="Times New Roman" w:hAnsi="Lato" w:cs="Times New Roman"/>
          <w:color w:val="000000"/>
          <w:sz w:val="23"/>
          <w:szCs w:val="23"/>
          <w:lang w:eastAsia="fr-FR"/>
        </w:rPr>
        <w:t xml:space="preserve">, disponible sur une base </w:t>
      </w:r>
      <w:proofErr w:type="spellStart"/>
      <w:r w:rsidRPr="00883F45">
        <w:rPr>
          <w:rFonts w:ascii="Lato" w:eastAsia="Times New Roman" w:hAnsi="Lato" w:cs="Times New Roman"/>
          <w:color w:val="000000"/>
          <w:sz w:val="23"/>
          <w:szCs w:val="23"/>
          <w:lang w:eastAsia="fr-FR"/>
        </w:rPr>
        <w:t>fca</w:t>
      </w:r>
      <w:proofErr w:type="spellEnd"/>
      <w:r w:rsidRPr="00883F45">
        <w:rPr>
          <w:rFonts w:ascii="Lato" w:eastAsia="Times New Roman" w:hAnsi="Lato" w:cs="Times New Roman"/>
          <w:color w:val="000000"/>
          <w:sz w:val="23"/>
          <w:szCs w:val="23"/>
          <w:lang w:eastAsia="fr-FR"/>
        </w:rPr>
        <w:t>, sont stables sur une semaine à 470-500 $/t. Le marché de l’offre est également très serré dans le sud du continent. Les primes sur les </w:t>
      </w:r>
      <w:r w:rsidRPr="00883F45">
        <w:rPr>
          <w:rFonts w:ascii="Lato" w:eastAsia="Times New Roman" w:hAnsi="Lato" w:cs="Times New Roman"/>
          <w:color w:val="000000"/>
          <w:sz w:val="23"/>
          <w:szCs w:val="23"/>
          <w:u w:val="single"/>
          <w:lang w:eastAsia="fr-FR"/>
        </w:rPr>
        <w:t>lingots dédouanés livrés</w:t>
      </w:r>
      <w:r w:rsidRPr="00883F45">
        <w:rPr>
          <w:rFonts w:ascii="Lato" w:eastAsia="Times New Roman" w:hAnsi="Lato" w:cs="Times New Roman"/>
          <w:color w:val="000000"/>
          <w:sz w:val="23"/>
          <w:szCs w:val="23"/>
          <w:lang w:eastAsia="fr-FR"/>
        </w:rPr>
        <w:t xml:space="preserve"> se nouent entre 480 et 530 $/t, elles </w:t>
      </w:r>
      <w:r w:rsidRPr="00883F45">
        <w:rPr>
          <w:rFonts w:ascii="Lato" w:eastAsia="Times New Roman" w:hAnsi="Lato" w:cs="Times New Roman"/>
          <w:color w:val="000000"/>
          <w:sz w:val="23"/>
          <w:szCs w:val="23"/>
          <w:lang w:eastAsia="fr-FR"/>
        </w:rPr>
        <w:lastRenderedPageBreak/>
        <w:t>sont également inchangées. Certaines usines consommatrices sont encore en opération de maintenance et devraient effectuer leur retour de congé très prochainement.</w:t>
      </w:r>
    </w:p>
    <w:p w14:paraId="0D536FC5"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 </w:t>
      </w:r>
    </w:p>
    <w:p w14:paraId="54F38EE3"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b/>
          <w:bCs/>
          <w:color w:val="A52A2A"/>
          <w:sz w:val="23"/>
          <w:szCs w:val="23"/>
          <w:lang w:eastAsia="fr-FR"/>
        </w:rPr>
        <w:t>Nickel : en fort recul</w:t>
      </w:r>
    </w:p>
    <w:p w14:paraId="1EBD8EC2" w14:textId="77777777" w:rsidR="00883F45" w:rsidRPr="00883F45" w:rsidRDefault="00883F45" w:rsidP="00883F45">
      <w:pPr>
        <w:shd w:val="clear" w:color="auto" w:fill="FFFFFF"/>
        <w:spacing w:before="75" w:after="75"/>
        <w:jc w:val="both"/>
        <w:rPr>
          <w:rFonts w:ascii="Lato" w:eastAsia="Times New Roman" w:hAnsi="Lato" w:cs="Times New Roman"/>
          <w:color w:val="000000"/>
          <w:sz w:val="23"/>
          <w:szCs w:val="23"/>
          <w:lang w:eastAsia="fr-FR"/>
        </w:rPr>
      </w:pPr>
      <w:r w:rsidRPr="00883F45">
        <w:rPr>
          <w:rFonts w:ascii="Lato" w:eastAsia="Times New Roman" w:hAnsi="Lato" w:cs="Times New Roman"/>
          <w:color w:val="000000"/>
          <w:sz w:val="23"/>
          <w:szCs w:val="23"/>
          <w:lang w:eastAsia="fr-FR"/>
        </w:rPr>
        <w:t>Les primes sur le nickel affiné ont lourdement chuté ces derniers jours. Côté demande, les vendeurs attendent le retour de congé des usines consommatrices. Les niveaux de liquidités sur les marchés de cathodes sont demeurés particulièrement bas. D’autre part, les négociations sur les contrats annuels vont débuter prochainement, les opérateurs vont donc s’y consacrer et délaisser en partie le marché spot. « </w:t>
      </w:r>
      <w:r w:rsidRPr="00883F45">
        <w:rPr>
          <w:rFonts w:ascii="Lato" w:eastAsia="Times New Roman" w:hAnsi="Lato" w:cs="Times New Roman"/>
          <w:i/>
          <w:iCs/>
          <w:color w:val="000000"/>
          <w:sz w:val="23"/>
          <w:szCs w:val="23"/>
          <w:lang w:eastAsia="fr-FR"/>
        </w:rPr>
        <w:t>Les consommateurs manquent de visibilité pour les prochains mois</w:t>
      </w:r>
      <w:r w:rsidRPr="00883F45">
        <w:rPr>
          <w:rFonts w:ascii="Lato" w:eastAsia="Times New Roman" w:hAnsi="Lato" w:cs="Times New Roman"/>
          <w:color w:val="000000"/>
          <w:sz w:val="23"/>
          <w:szCs w:val="23"/>
          <w:lang w:eastAsia="fr-FR"/>
        </w:rPr>
        <w:t> », a constaté un producteur. Les primes sur les </w:t>
      </w:r>
      <w:r w:rsidRPr="00883F45">
        <w:rPr>
          <w:rFonts w:ascii="Lato" w:eastAsia="Times New Roman" w:hAnsi="Lato" w:cs="Times New Roman"/>
          <w:color w:val="000000"/>
          <w:sz w:val="23"/>
          <w:szCs w:val="23"/>
          <w:u w:val="single"/>
          <w:lang w:eastAsia="fr-FR"/>
        </w:rPr>
        <w:t>briquettes</w:t>
      </w:r>
      <w:r w:rsidRPr="00883F45">
        <w:rPr>
          <w:rFonts w:ascii="Lato" w:eastAsia="Times New Roman" w:hAnsi="Lato" w:cs="Times New Roman"/>
          <w:color w:val="000000"/>
          <w:sz w:val="23"/>
          <w:szCs w:val="23"/>
          <w:lang w:eastAsia="fr-FR"/>
        </w:rPr>
        <w:t>, départ entrepôts de </w:t>
      </w:r>
      <w:r w:rsidRPr="00883F45">
        <w:rPr>
          <w:rFonts w:ascii="Lato" w:eastAsia="Times New Roman" w:hAnsi="Lato" w:cs="Times New Roman"/>
          <w:b/>
          <w:bCs/>
          <w:color w:val="000000"/>
          <w:sz w:val="23"/>
          <w:szCs w:val="23"/>
          <w:lang w:eastAsia="fr-FR"/>
        </w:rPr>
        <w:t>Rotterdam </w:t>
      </w:r>
      <w:r w:rsidRPr="00883F45">
        <w:rPr>
          <w:rFonts w:ascii="Lato" w:eastAsia="Times New Roman" w:hAnsi="Lato" w:cs="Times New Roman"/>
          <w:color w:val="000000"/>
          <w:sz w:val="23"/>
          <w:szCs w:val="23"/>
          <w:lang w:eastAsia="fr-FR"/>
        </w:rPr>
        <w:t>ont chuté à 1.000-1.300 $/t depuis leur précédente fourchette de 1.500-2.000 $/t. Les primes sur les </w:t>
      </w:r>
      <w:r w:rsidRPr="00883F45">
        <w:rPr>
          <w:rFonts w:ascii="Lato" w:eastAsia="Times New Roman" w:hAnsi="Lato" w:cs="Times New Roman"/>
          <w:color w:val="000000"/>
          <w:sz w:val="23"/>
          <w:szCs w:val="23"/>
          <w:u w:val="single"/>
          <w:lang w:eastAsia="fr-FR"/>
        </w:rPr>
        <w:t>cathodes entières</w:t>
      </w:r>
      <w:r w:rsidRPr="00883F45">
        <w:rPr>
          <w:rFonts w:ascii="Lato" w:eastAsia="Times New Roman" w:hAnsi="Lato" w:cs="Times New Roman"/>
          <w:color w:val="000000"/>
          <w:sz w:val="23"/>
          <w:szCs w:val="23"/>
          <w:lang w:eastAsia="fr-FR"/>
        </w:rPr>
        <w:t> ont, elles aussi, dévissé à 650-1000 $/t, contre 900-.1200 $/t, tout comme les primes sur les </w:t>
      </w:r>
      <w:r w:rsidRPr="00883F45">
        <w:rPr>
          <w:rFonts w:ascii="Lato" w:eastAsia="Times New Roman" w:hAnsi="Lato" w:cs="Times New Roman"/>
          <w:color w:val="000000"/>
          <w:sz w:val="23"/>
          <w:szCs w:val="23"/>
          <w:u w:val="single"/>
          <w:lang w:eastAsia="fr-FR"/>
        </w:rPr>
        <w:t>cathodes coupées</w:t>
      </w:r>
      <w:r w:rsidRPr="00883F45">
        <w:rPr>
          <w:rFonts w:ascii="Lato" w:eastAsia="Times New Roman" w:hAnsi="Lato" w:cs="Times New Roman"/>
          <w:color w:val="000000"/>
          <w:sz w:val="23"/>
          <w:szCs w:val="23"/>
          <w:lang w:eastAsia="fr-FR"/>
        </w:rPr>
        <w:t>, qui ont décroché à 1.500-2.000 $/t, contre 2.000-2.500 $/t la semaine passée. Les stocks de </w:t>
      </w:r>
      <w:r w:rsidRPr="00883F45">
        <w:rPr>
          <w:rFonts w:ascii="Lato" w:eastAsia="Times New Roman" w:hAnsi="Lato" w:cs="Times New Roman"/>
          <w:color w:val="000000"/>
          <w:sz w:val="23"/>
          <w:szCs w:val="23"/>
          <w:u w:val="single"/>
          <w:lang w:eastAsia="fr-FR"/>
        </w:rPr>
        <w:t>cathodes entières</w:t>
      </w:r>
      <w:r w:rsidRPr="00883F45">
        <w:rPr>
          <w:rFonts w:ascii="Lato" w:eastAsia="Times New Roman" w:hAnsi="Lato" w:cs="Times New Roman"/>
          <w:color w:val="000000"/>
          <w:sz w:val="23"/>
          <w:szCs w:val="23"/>
          <w:lang w:eastAsia="fr-FR"/>
        </w:rPr>
        <w:t> sont particulièrement bas dans la région, les entrepôts de </w:t>
      </w:r>
      <w:r w:rsidRPr="00883F45">
        <w:rPr>
          <w:rFonts w:ascii="Lato" w:eastAsia="Times New Roman" w:hAnsi="Lato" w:cs="Times New Roman"/>
          <w:b/>
          <w:bCs/>
          <w:color w:val="000000"/>
          <w:sz w:val="23"/>
          <w:szCs w:val="23"/>
          <w:lang w:eastAsia="fr-FR"/>
        </w:rPr>
        <w:t>Rotterdam </w:t>
      </w:r>
      <w:r w:rsidRPr="00883F45">
        <w:rPr>
          <w:rFonts w:ascii="Lato" w:eastAsia="Times New Roman" w:hAnsi="Lato" w:cs="Times New Roman"/>
          <w:color w:val="000000"/>
          <w:sz w:val="23"/>
          <w:szCs w:val="23"/>
          <w:lang w:eastAsia="fr-FR"/>
        </w:rPr>
        <w:t>n’en contiennent que 5.946 tonnes. Des traders pourraient en importer d’Asie, selon des rumeurs.</w:t>
      </w:r>
    </w:p>
    <w:p w14:paraId="691A585B" w14:textId="77777777" w:rsidR="00883F45" w:rsidRPr="00883F45" w:rsidRDefault="00883F45" w:rsidP="00883F45">
      <w:pPr>
        <w:rPr>
          <w:rFonts w:ascii="Times New Roman" w:eastAsia="Times New Roman" w:hAnsi="Times New Roman" w:cs="Times New Roman"/>
          <w:lang w:eastAsia="fr-FR"/>
        </w:rPr>
      </w:pPr>
    </w:p>
    <w:p w14:paraId="0DE9893D"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45"/>
    <w:rsid w:val="000F156F"/>
    <w:rsid w:val="00883F45"/>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03A6B76"/>
  <w15:chartTrackingRefBased/>
  <w15:docId w15:val="{53CF12F2-1F15-5F42-98DD-03A78832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83F4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83F4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3F4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83F45"/>
    <w:rPr>
      <w:rFonts w:ascii="Times New Roman" w:eastAsia="Times New Roman" w:hAnsi="Times New Roman" w:cs="Times New Roman"/>
      <w:b/>
      <w:bCs/>
      <w:sz w:val="36"/>
      <w:szCs w:val="36"/>
      <w:lang w:eastAsia="fr-FR"/>
    </w:rPr>
  </w:style>
  <w:style w:type="paragraph" w:customStyle="1" w:styleId="infoarticle">
    <w:name w:val="info_article"/>
    <w:basedOn w:val="Normal"/>
    <w:rsid w:val="00883F4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83F45"/>
    <w:rPr>
      <w:color w:val="0000FF"/>
      <w:u w:val="single"/>
    </w:rPr>
  </w:style>
  <w:style w:type="paragraph" w:styleId="NormalWeb">
    <w:name w:val="Normal (Web)"/>
    <w:basedOn w:val="Normal"/>
    <w:uiPriority w:val="99"/>
    <w:semiHidden/>
    <w:unhideWhenUsed/>
    <w:rsid w:val="00883F4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83F45"/>
    <w:rPr>
      <w:b/>
      <w:bCs/>
    </w:rPr>
  </w:style>
  <w:style w:type="character" w:styleId="Accentuation">
    <w:name w:val="Emphasis"/>
    <w:basedOn w:val="Policepardfaut"/>
    <w:uiPriority w:val="20"/>
    <w:qFormat/>
    <w:rsid w:val="00883F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4122</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2022-09-05T12:30:00Z</dcterms:created>
  <dcterms:modified xsi:type="dcterms:W3CDTF">2022-09-05T12:31:00Z</dcterms:modified>
</cp:coreProperties>
</file>